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E9" w:rsidRDefault="007E3AE9" w:rsidP="007E3AE9">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7E3AE9">
        <w:rPr>
          <w:rFonts w:ascii="Arial" w:eastAsia="Times New Roman" w:hAnsi="Arial" w:cs="Arial"/>
          <w:color w:val="333333"/>
          <w:kern w:val="36"/>
          <w:sz w:val="48"/>
          <w:szCs w:val="48"/>
          <w:lang w:eastAsia="es-CO"/>
        </w:rPr>
        <w:t>Departamento Administrativo de la Función Pública</w:t>
      </w:r>
    </w:p>
    <w:p w:rsidR="007E3AE9" w:rsidRPr="007E3AE9" w:rsidRDefault="007E3AE9" w:rsidP="007E3AE9">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7E3AE9">
        <w:rPr>
          <w:rFonts w:ascii="Arial" w:eastAsia="Times New Roman" w:hAnsi="Arial" w:cs="Arial"/>
          <w:color w:val="333333"/>
          <w:kern w:val="36"/>
          <w:sz w:val="48"/>
          <w:szCs w:val="48"/>
          <w:lang w:eastAsia="es-CO"/>
        </w:rPr>
        <w:t>Concepto 100591 de 2019</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*20196000100591*</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r w:rsidRPr="007E3AE9">
        <w:rPr>
          <w:rFonts w:ascii="Arial" w:eastAsia="Times New Roman" w:hAnsi="Arial" w:cs="Arial"/>
          <w:b/>
          <w:bCs/>
          <w:color w:val="666666"/>
          <w:sz w:val="24"/>
          <w:szCs w:val="24"/>
          <w:lang w:eastAsia="es-CO"/>
        </w:rPr>
        <w:t>Al contestar por favor cite estos datos:</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Radicado No.: 20196000100591</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right"/>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Fecha: 03/04/2019 02:32:42 p.m.</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Bogotá D.C.</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REF: INHABILIDADES E INCOMPATIBILIDADES. </w:t>
      </w:r>
      <w:r w:rsidRPr="007E3AE9">
        <w:rPr>
          <w:rFonts w:ascii="Arial" w:eastAsia="Times New Roman" w:hAnsi="Arial" w:cs="Arial"/>
          <w:color w:val="666666"/>
          <w:sz w:val="24"/>
          <w:szCs w:val="24"/>
          <w:lang w:eastAsia="es-CO"/>
        </w:rPr>
        <w:t>Inhabilidad para ser elegido miembro del Consejo Directivo Corporación Autónoma Regional</w:t>
      </w:r>
      <w:r w:rsidRPr="007E3AE9">
        <w:rPr>
          <w:rFonts w:ascii="Arial" w:eastAsia="Times New Roman" w:hAnsi="Arial" w:cs="Arial"/>
          <w:b/>
          <w:bCs/>
          <w:color w:val="666666"/>
          <w:sz w:val="24"/>
          <w:szCs w:val="24"/>
          <w:lang w:eastAsia="es-CO"/>
        </w:rPr>
        <w:t>. RAD. 20192060069562</w:t>
      </w:r>
      <w:r w:rsidRPr="007E3AE9">
        <w:rPr>
          <w:rFonts w:ascii="Arial" w:eastAsia="Times New Roman" w:hAnsi="Arial" w:cs="Arial"/>
          <w:color w:val="666666"/>
          <w:sz w:val="24"/>
          <w:szCs w:val="24"/>
          <w:lang w:eastAsia="es-CO"/>
        </w:rPr>
        <w:t> del 22 de febrero de 2019.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En atención a la comunicación de la referencia, mediante la cual consulta si existe inhabilidad y/o incompatibilidad para un integrante del Consejo Directivo en representación de la sociedad civil que culmina su periodo el 31 de diciembre del 2019 para aspirar al cargo de Director General de una Corporación Autónoma Regional para el periodo 2020-2023 y en caso de existir, cuál es el plazo máximo para renunciar que tiene el integrante del Consejo Directivo, me permito manifestarle lo siguiente:</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La </w:t>
      </w:r>
      <w:bookmarkStart w:id="0" w:name="OLE_LINK993"/>
      <w:bookmarkStart w:id="1" w:name="OLE_LINK992"/>
      <w:bookmarkStart w:id="2" w:name="OLE_LINK991"/>
      <w:bookmarkEnd w:id="0"/>
      <w:bookmarkEnd w:id="1"/>
      <w:r w:rsidRPr="007E3AE9">
        <w:rPr>
          <w:rFonts w:ascii="Arial" w:eastAsia="Times New Roman" w:hAnsi="Arial" w:cs="Arial"/>
          <w:color w:val="666666"/>
          <w:sz w:val="24"/>
          <w:szCs w:val="24"/>
          <w:lang w:eastAsia="es-CO"/>
        </w:rPr>
        <w:fldChar w:fldCharType="begin"/>
      </w:r>
      <w:r w:rsidRPr="007E3AE9">
        <w:rPr>
          <w:rFonts w:ascii="Arial" w:eastAsia="Times New Roman" w:hAnsi="Arial" w:cs="Arial"/>
          <w:color w:val="666666"/>
          <w:sz w:val="24"/>
          <w:szCs w:val="24"/>
          <w:lang w:eastAsia="es-CO"/>
        </w:rPr>
        <w:instrText xml:space="preserve"> HYPERLINK "https://www.funcionpublica.gov.co/eva/gestornormativo/norma.php?i=297" \l "99" </w:instrText>
      </w:r>
      <w:r w:rsidRPr="007E3AE9">
        <w:rPr>
          <w:rFonts w:ascii="Arial" w:eastAsia="Times New Roman" w:hAnsi="Arial" w:cs="Arial"/>
          <w:color w:val="666666"/>
          <w:sz w:val="24"/>
          <w:szCs w:val="24"/>
          <w:lang w:eastAsia="es-CO"/>
        </w:rPr>
        <w:fldChar w:fldCharType="separate"/>
      </w:r>
      <w:r w:rsidRPr="007E3AE9">
        <w:rPr>
          <w:rFonts w:ascii="Arial" w:eastAsia="Times New Roman" w:hAnsi="Arial" w:cs="Arial"/>
          <w:color w:val="337AB7"/>
          <w:sz w:val="24"/>
          <w:szCs w:val="24"/>
          <w:lang w:eastAsia="es-CO"/>
        </w:rPr>
        <w:t>Ley 99 de 1993</w:t>
      </w:r>
      <w:r w:rsidRPr="007E3AE9">
        <w:rPr>
          <w:rFonts w:ascii="Arial" w:eastAsia="Times New Roman" w:hAnsi="Arial" w:cs="Arial"/>
          <w:color w:val="666666"/>
          <w:sz w:val="24"/>
          <w:szCs w:val="24"/>
          <w:lang w:eastAsia="es-CO"/>
        </w:rPr>
        <w:fldChar w:fldCharType="end"/>
      </w:r>
      <w:bookmarkEnd w:id="2"/>
      <w:r w:rsidRPr="007E3AE9">
        <w:rPr>
          <w:rFonts w:ascii="Arial" w:eastAsia="Times New Roman" w:hAnsi="Arial" w:cs="Arial"/>
          <w:color w:val="666666"/>
          <w:sz w:val="24"/>
          <w:szCs w:val="24"/>
          <w:vertAlign w:val="superscript"/>
          <w:lang w:eastAsia="es-CO"/>
        </w:rPr>
        <w:t>1</w:t>
      </w:r>
      <w:r w:rsidRPr="007E3AE9">
        <w:rPr>
          <w:rFonts w:ascii="Arial" w:eastAsia="Times New Roman" w:hAnsi="Arial" w:cs="Arial"/>
          <w:color w:val="666666"/>
          <w:sz w:val="24"/>
          <w:szCs w:val="24"/>
          <w:lang w:eastAsia="es-CO"/>
        </w:rPr>
        <w:t xml:space="preserve">, define las Corporaciones Autónomas Regionales como entes corporativos de carácter público, creados por la ley, integrados por las entidades territoriales que por sus características constituyen geográficamente un mismo ecosistema o conforman una unidad geopolítica, biogeográfica o </w:t>
      </w:r>
      <w:proofErr w:type="spellStart"/>
      <w:r w:rsidRPr="007E3AE9">
        <w:rPr>
          <w:rFonts w:ascii="Arial" w:eastAsia="Times New Roman" w:hAnsi="Arial" w:cs="Arial"/>
          <w:color w:val="666666"/>
          <w:sz w:val="24"/>
          <w:szCs w:val="24"/>
          <w:lang w:eastAsia="es-CO"/>
        </w:rPr>
        <w:t>hidrogeográfica</w:t>
      </w:r>
      <w:proofErr w:type="spellEnd"/>
      <w:r w:rsidRPr="007E3AE9">
        <w:rPr>
          <w:rFonts w:ascii="Arial" w:eastAsia="Times New Roman" w:hAnsi="Arial" w:cs="Arial"/>
          <w:color w:val="666666"/>
          <w:sz w:val="24"/>
          <w:szCs w:val="24"/>
          <w:lang w:eastAsia="es-CO"/>
        </w:rPr>
        <w:t>,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lastRenderedPageBreak/>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Frente a la integración del Consejo Directivo una Corporación Autónoma Regional, el artículo </w:t>
      </w:r>
      <w:hyperlink r:id="rId5" w:anchor="26" w:history="1">
        <w:r w:rsidRPr="007E3AE9">
          <w:rPr>
            <w:rFonts w:ascii="Arial" w:eastAsia="Times New Roman" w:hAnsi="Arial" w:cs="Arial"/>
            <w:color w:val="337AB7"/>
            <w:sz w:val="24"/>
            <w:szCs w:val="24"/>
            <w:lang w:eastAsia="es-CO"/>
          </w:rPr>
          <w:t>26</w:t>
        </w:r>
      </w:hyperlink>
      <w:r w:rsidRPr="007E3AE9">
        <w:rPr>
          <w:rFonts w:ascii="Arial" w:eastAsia="Times New Roman" w:hAnsi="Arial" w:cs="Arial"/>
          <w:color w:val="666666"/>
          <w:sz w:val="24"/>
          <w:szCs w:val="24"/>
          <w:lang w:eastAsia="es-CO"/>
        </w:rPr>
        <w:t> de la mencionada Ley 99 de 1993, dispone que el Consejo Directivo, es el órgano de administración y está conformado entre otros por el gobernador o los gobernadores de los departamentos sobre cuyo territorio ejerza jurisdicción la corporación autónoma regional; por un representante del Presidente de la República; un representante del Ministro del Medio Ambiente; Dos representantes del sector privado.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Ahora bien, frente a las inhabilidades de los miembros del Consejo Directivo una Corporación Autónoma Regional, el Consejo de Estado, </w:t>
      </w:r>
      <w:bookmarkStart w:id="3" w:name="OLE_LINK990"/>
      <w:bookmarkStart w:id="4" w:name="OLE_LINK989"/>
      <w:bookmarkStart w:id="5" w:name="OLE_LINK988"/>
      <w:bookmarkEnd w:id="3"/>
      <w:bookmarkEnd w:id="4"/>
      <w:r w:rsidRPr="007E3AE9">
        <w:rPr>
          <w:rFonts w:ascii="Arial" w:eastAsia="Times New Roman" w:hAnsi="Arial" w:cs="Arial"/>
          <w:color w:val="337AB7"/>
          <w:sz w:val="24"/>
          <w:szCs w:val="24"/>
          <w:lang w:eastAsia="es-CO"/>
        </w:rPr>
        <w:t xml:space="preserve">Sala de Consulta y Servicio Civil, Consejero Ponente, Ricardo H. Monroy </w:t>
      </w:r>
      <w:proofErr w:type="spellStart"/>
      <w:r w:rsidRPr="007E3AE9">
        <w:rPr>
          <w:rFonts w:ascii="Arial" w:eastAsia="Times New Roman" w:hAnsi="Arial" w:cs="Arial"/>
          <w:color w:val="337AB7"/>
          <w:sz w:val="24"/>
          <w:szCs w:val="24"/>
          <w:lang w:eastAsia="es-CO"/>
        </w:rPr>
        <w:t>Church</w:t>
      </w:r>
      <w:proofErr w:type="spellEnd"/>
      <w:r w:rsidRPr="007E3AE9">
        <w:rPr>
          <w:rFonts w:ascii="Arial" w:eastAsia="Times New Roman" w:hAnsi="Arial" w:cs="Arial"/>
          <w:color w:val="337AB7"/>
          <w:sz w:val="24"/>
          <w:szCs w:val="24"/>
          <w:lang w:eastAsia="es-CO"/>
        </w:rPr>
        <w:t>, emitió concepto con Radicación 1366 de fecha 18 octubre de 2001</w:t>
      </w:r>
      <w:bookmarkEnd w:id="5"/>
      <w:r w:rsidRPr="007E3AE9">
        <w:rPr>
          <w:rFonts w:ascii="Arial" w:eastAsia="Times New Roman" w:hAnsi="Arial" w:cs="Arial"/>
          <w:color w:val="666666"/>
          <w:sz w:val="24"/>
          <w:szCs w:val="24"/>
          <w:lang w:eastAsia="es-CO"/>
        </w:rPr>
        <w:t>, en el cual se dispuso: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bookmarkStart w:id="6" w:name="_GoBack"/>
      <w:r w:rsidRPr="007E3AE9">
        <w:rPr>
          <w:rFonts w:ascii="Arial" w:eastAsia="Times New Roman" w:hAnsi="Arial" w:cs="Arial"/>
          <w:color w:val="666666"/>
          <w:sz w:val="24"/>
          <w:szCs w:val="24"/>
          <w:lang w:eastAsia="es-CO"/>
        </w:rPr>
        <w:t> </w:t>
      </w:r>
    </w:p>
    <w:bookmarkEnd w:id="6"/>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i/>
          <w:iCs/>
          <w:color w:val="666666"/>
          <w:sz w:val="24"/>
          <w:szCs w:val="24"/>
          <w:u w:val="single"/>
          <w:lang w:eastAsia="es-CO"/>
        </w:rPr>
        <w:t>“Por ello no es aplicable el régimen de inhabilidades e incompatibilidades previsto para los miembros de los consejos o juntas directivas de las entidades descentralizadas en el decreto ley </w:t>
      </w:r>
      <w:hyperlink r:id="rId6" w:anchor="128" w:history="1">
        <w:r w:rsidRPr="007E3AE9">
          <w:rPr>
            <w:rFonts w:ascii="Arial" w:eastAsia="Times New Roman" w:hAnsi="Arial" w:cs="Arial"/>
            <w:b/>
            <w:bCs/>
            <w:i/>
            <w:iCs/>
            <w:color w:val="337AB7"/>
            <w:sz w:val="24"/>
            <w:szCs w:val="24"/>
            <w:lang w:eastAsia="es-CO"/>
          </w:rPr>
          <w:t>128</w:t>
        </w:r>
      </w:hyperlink>
      <w:r w:rsidRPr="007E3AE9">
        <w:rPr>
          <w:rFonts w:ascii="Arial" w:eastAsia="Times New Roman" w:hAnsi="Arial" w:cs="Arial"/>
          <w:b/>
          <w:bCs/>
          <w:i/>
          <w:iCs/>
          <w:color w:val="666666"/>
          <w:sz w:val="24"/>
          <w:szCs w:val="24"/>
          <w:u w:val="single"/>
          <w:lang w:eastAsia="es-CO"/>
        </w:rPr>
        <w:t> de 1.976 y tampoco el previsto en la Ley 489 de 1998 -que regula el ejercicio de la función administrativa, determina la estructura y define los principios y reglas básicas de la organización y funcionamiento de la administración pública</w:t>
      </w:r>
      <w:r w:rsidRPr="007E3AE9">
        <w:rPr>
          <w:rFonts w:ascii="Arial" w:eastAsia="Times New Roman" w:hAnsi="Arial" w:cs="Arial"/>
          <w:i/>
          <w:iCs/>
          <w:color w:val="666666"/>
          <w:sz w:val="24"/>
          <w:szCs w:val="24"/>
          <w:lang w:eastAsia="es-CO"/>
        </w:rPr>
        <w:t>-, pues su artículo </w:t>
      </w:r>
      <w:hyperlink r:id="rId7" w:anchor="40" w:history="1">
        <w:r w:rsidRPr="007E3AE9">
          <w:rPr>
            <w:rFonts w:ascii="Arial" w:eastAsia="Times New Roman" w:hAnsi="Arial" w:cs="Arial"/>
            <w:i/>
            <w:iCs/>
            <w:color w:val="337AB7"/>
            <w:sz w:val="24"/>
            <w:szCs w:val="24"/>
            <w:lang w:eastAsia="es-CO"/>
          </w:rPr>
          <w:t>40</w:t>
        </w:r>
      </w:hyperlink>
      <w:r w:rsidRPr="007E3AE9">
        <w:rPr>
          <w:rFonts w:ascii="Arial" w:eastAsia="Times New Roman" w:hAnsi="Arial" w:cs="Arial"/>
          <w:i/>
          <w:iCs/>
          <w:color w:val="666666"/>
          <w:sz w:val="24"/>
          <w:szCs w:val="24"/>
          <w:lang w:eastAsia="es-CO"/>
        </w:rPr>
        <w:t> dispone que  las corporaciones autónomas regionales, como entidad de régimen especial otorgado por la Constitución Política, se someten a las disposiciones que para ellas establezcan las respectivas leyes, </w:t>
      </w:r>
      <w:r w:rsidRPr="007E3AE9">
        <w:rPr>
          <w:rFonts w:ascii="Arial" w:eastAsia="Times New Roman" w:hAnsi="Arial" w:cs="Arial"/>
          <w:b/>
          <w:bCs/>
          <w:i/>
          <w:iCs/>
          <w:color w:val="666666"/>
          <w:sz w:val="24"/>
          <w:szCs w:val="24"/>
          <w:u w:val="single"/>
          <w:lang w:eastAsia="es-CO"/>
        </w:rPr>
        <w:t>de tal manera que en armonía con los artículos </w:t>
      </w:r>
      <w:hyperlink r:id="rId8" w:anchor="6" w:history="1">
        <w:r w:rsidRPr="007E3AE9">
          <w:rPr>
            <w:rFonts w:ascii="Arial" w:eastAsia="Times New Roman" w:hAnsi="Arial" w:cs="Arial"/>
            <w:b/>
            <w:bCs/>
            <w:i/>
            <w:iCs/>
            <w:color w:val="337AB7"/>
            <w:sz w:val="24"/>
            <w:szCs w:val="24"/>
            <w:lang w:eastAsia="es-CO"/>
          </w:rPr>
          <w:t>6</w:t>
        </w:r>
      </w:hyperlink>
      <w:r w:rsidRPr="007E3AE9">
        <w:rPr>
          <w:rFonts w:ascii="Arial" w:eastAsia="Times New Roman" w:hAnsi="Arial" w:cs="Arial"/>
          <w:b/>
          <w:bCs/>
          <w:i/>
          <w:iCs/>
          <w:color w:val="666666"/>
          <w:sz w:val="24"/>
          <w:szCs w:val="24"/>
          <w:u w:val="single"/>
          <w:lang w:eastAsia="es-CO"/>
        </w:rPr>
        <w:t>°, </w:t>
      </w:r>
      <w:hyperlink r:id="rId9" w:anchor="124" w:history="1">
        <w:r w:rsidRPr="007E3AE9">
          <w:rPr>
            <w:rFonts w:ascii="Arial" w:eastAsia="Times New Roman" w:hAnsi="Arial" w:cs="Arial"/>
            <w:b/>
            <w:bCs/>
            <w:i/>
            <w:iCs/>
            <w:color w:val="337AB7"/>
            <w:sz w:val="24"/>
            <w:szCs w:val="24"/>
            <w:lang w:eastAsia="es-CO"/>
          </w:rPr>
          <w:t>124</w:t>
        </w:r>
      </w:hyperlink>
      <w:r w:rsidRPr="007E3AE9">
        <w:rPr>
          <w:rFonts w:ascii="Arial" w:eastAsia="Times New Roman" w:hAnsi="Arial" w:cs="Arial"/>
          <w:b/>
          <w:bCs/>
          <w:i/>
          <w:iCs/>
          <w:color w:val="666666"/>
          <w:sz w:val="24"/>
          <w:szCs w:val="24"/>
          <w:u w:val="single"/>
          <w:lang w:eastAsia="es-CO"/>
        </w:rPr>
        <w:t> y </w:t>
      </w:r>
      <w:hyperlink r:id="rId10" w:anchor="150" w:history="1">
        <w:r w:rsidRPr="007E3AE9">
          <w:rPr>
            <w:rFonts w:ascii="Arial" w:eastAsia="Times New Roman" w:hAnsi="Arial" w:cs="Arial"/>
            <w:b/>
            <w:bCs/>
            <w:i/>
            <w:iCs/>
            <w:color w:val="337AB7"/>
            <w:sz w:val="24"/>
            <w:szCs w:val="24"/>
            <w:lang w:eastAsia="es-CO"/>
          </w:rPr>
          <w:t>150</w:t>
        </w:r>
      </w:hyperlink>
      <w:r w:rsidRPr="007E3AE9">
        <w:rPr>
          <w:rFonts w:ascii="Arial" w:eastAsia="Times New Roman" w:hAnsi="Arial" w:cs="Arial"/>
          <w:b/>
          <w:bCs/>
          <w:i/>
          <w:iCs/>
          <w:color w:val="666666"/>
          <w:sz w:val="24"/>
          <w:szCs w:val="24"/>
          <w:u w:val="single"/>
          <w:lang w:eastAsia="es-CO"/>
        </w:rPr>
        <w:t>.7 constitucionales, solamente las disposiciones con tal jerarquía legislativa en materia de prohibiciones, inhabilidades e incompatibilidades, resultan aplicables a los miembros de los consejos directivos de las corporaciones autónomas regionales</w:t>
      </w: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Como consecuencia de la inaplicación del artículo </w:t>
      </w:r>
      <w:hyperlink r:id="rId11" w:anchor="19" w:history="1">
        <w:r w:rsidRPr="007E3AE9">
          <w:rPr>
            <w:rFonts w:ascii="Arial" w:eastAsia="Times New Roman" w:hAnsi="Arial" w:cs="Arial"/>
            <w:i/>
            <w:iCs/>
            <w:color w:val="337AB7"/>
            <w:sz w:val="24"/>
            <w:szCs w:val="24"/>
            <w:lang w:eastAsia="es-CO"/>
          </w:rPr>
          <w:t>19</w:t>
        </w:r>
      </w:hyperlink>
      <w:r w:rsidRPr="007E3AE9">
        <w:rPr>
          <w:rFonts w:ascii="Arial" w:eastAsia="Times New Roman" w:hAnsi="Arial" w:cs="Arial"/>
          <w:i/>
          <w:iCs/>
          <w:color w:val="666666"/>
          <w:sz w:val="24"/>
          <w:szCs w:val="24"/>
          <w:lang w:eastAsia="es-CO"/>
        </w:rPr>
        <w:t> del decreto 1768 de 1.994 y ante la imposibilidad de extender el régimen de inhabilidades e incompatibilidades a los miembros de tales consejos directivos, pues su previsión es taxativa y su aplicación restrictiva, </w:t>
      </w:r>
      <w:r w:rsidRPr="007E3AE9">
        <w:rPr>
          <w:rFonts w:ascii="Arial" w:eastAsia="Times New Roman" w:hAnsi="Arial" w:cs="Arial"/>
          <w:b/>
          <w:bCs/>
          <w:i/>
          <w:iCs/>
          <w:color w:val="666666"/>
          <w:sz w:val="24"/>
          <w:szCs w:val="24"/>
          <w:u w:val="single"/>
          <w:lang w:eastAsia="es-CO"/>
        </w:rPr>
        <w:t>debe acudirse al régimen general propio de los servidores públicos y de los particulares que cumplen funciones públicas, así como a los especiales establecidos por el legislador en consideración al cargo en razón del cual pertenecen al Consejo</w:t>
      </w: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Respecto de los regímenes ordinarios se explican, los contenidos en el estatuto general de contratación de la administración pública, establecido no por la naturaleza o forma de organización de la entidad pública, sino por la actividad estatal que ésta ejerce, así como el correspondiente a cada uno de los miembros de los consejos directivos de las corporaciones autónomas regionales, </w:t>
      </w:r>
      <w:r w:rsidRPr="007E3AE9">
        <w:rPr>
          <w:rFonts w:ascii="Arial" w:eastAsia="Times New Roman" w:hAnsi="Arial" w:cs="Arial"/>
          <w:b/>
          <w:bCs/>
          <w:i/>
          <w:iCs/>
          <w:color w:val="666666"/>
          <w:sz w:val="24"/>
          <w:szCs w:val="24"/>
          <w:u w:val="single"/>
          <w:lang w:eastAsia="es-CO"/>
        </w:rPr>
        <w:t xml:space="preserve">atendiendo </w:t>
      </w:r>
      <w:r w:rsidRPr="007E3AE9">
        <w:rPr>
          <w:rFonts w:ascii="Arial" w:eastAsia="Times New Roman" w:hAnsi="Arial" w:cs="Arial"/>
          <w:b/>
          <w:bCs/>
          <w:i/>
          <w:iCs/>
          <w:color w:val="666666"/>
          <w:sz w:val="24"/>
          <w:szCs w:val="24"/>
          <w:u w:val="single"/>
          <w:lang w:eastAsia="es-CO"/>
        </w:rPr>
        <w:lastRenderedPageBreak/>
        <w:t>la calidad de servidores públicos</w:t>
      </w:r>
      <w:r w:rsidRPr="007E3AE9">
        <w:rPr>
          <w:rFonts w:ascii="Arial" w:eastAsia="Times New Roman" w:hAnsi="Arial" w:cs="Arial"/>
          <w:i/>
          <w:iCs/>
          <w:color w:val="666666"/>
          <w:sz w:val="24"/>
          <w:szCs w:val="24"/>
          <w:lang w:eastAsia="es-CO"/>
        </w:rPr>
        <w:t> o de particulares que cumplen funciones públicas (leyes </w:t>
      </w:r>
      <w:hyperlink r:id="rId12" w:anchor="80" w:history="1">
        <w:r w:rsidRPr="007E3AE9">
          <w:rPr>
            <w:rFonts w:ascii="Arial" w:eastAsia="Times New Roman" w:hAnsi="Arial" w:cs="Arial"/>
            <w:i/>
            <w:iCs/>
            <w:color w:val="337AB7"/>
            <w:sz w:val="24"/>
            <w:szCs w:val="24"/>
            <w:lang w:eastAsia="es-CO"/>
          </w:rPr>
          <w:t>80 </w:t>
        </w:r>
      </w:hyperlink>
      <w:r w:rsidRPr="007E3AE9">
        <w:rPr>
          <w:rFonts w:ascii="Arial" w:eastAsia="Times New Roman" w:hAnsi="Arial" w:cs="Arial"/>
          <w:i/>
          <w:iCs/>
          <w:color w:val="666666"/>
          <w:sz w:val="24"/>
          <w:szCs w:val="24"/>
          <w:lang w:eastAsia="es-CO"/>
        </w:rPr>
        <w:t>de 1.993, </w:t>
      </w:r>
      <w:hyperlink r:id="rId13" w:anchor="190" w:history="1">
        <w:r w:rsidRPr="007E3AE9">
          <w:rPr>
            <w:rFonts w:ascii="Arial" w:eastAsia="Times New Roman" w:hAnsi="Arial" w:cs="Arial"/>
            <w:i/>
            <w:iCs/>
            <w:color w:val="337AB7"/>
            <w:sz w:val="24"/>
            <w:szCs w:val="24"/>
            <w:lang w:eastAsia="es-CO"/>
          </w:rPr>
          <w:t>190</w:t>
        </w:r>
      </w:hyperlink>
      <w:r w:rsidRPr="007E3AE9">
        <w:rPr>
          <w:rFonts w:ascii="Arial" w:eastAsia="Times New Roman" w:hAnsi="Arial" w:cs="Arial"/>
          <w:i/>
          <w:iCs/>
          <w:color w:val="666666"/>
          <w:sz w:val="24"/>
          <w:szCs w:val="24"/>
          <w:lang w:eastAsia="es-CO"/>
        </w:rPr>
        <w:t> y </w:t>
      </w:r>
      <w:hyperlink r:id="rId14" w:anchor="200" w:history="1">
        <w:r w:rsidRPr="007E3AE9">
          <w:rPr>
            <w:rFonts w:ascii="Arial" w:eastAsia="Times New Roman" w:hAnsi="Arial" w:cs="Arial"/>
            <w:i/>
            <w:iCs/>
            <w:color w:val="337AB7"/>
            <w:sz w:val="24"/>
            <w:szCs w:val="24"/>
            <w:lang w:eastAsia="es-CO"/>
          </w:rPr>
          <w:t>200</w:t>
        </w:r>
      </w:hyperlink>
      <w:r w:rsidRPr="007E3AE9">
        <w:rPr>
          <w:rFonts w:ascii="Arial" w:eastAsia="Times New Roman" w:hAnsi="Arial" w:cs="Arial"/>
          <w:i/>
          <w:iCs/>
          <w:color w:val="666666"/>
          <w:sz w:val="24"/>
          <w:szCs w:val="24"/>
          <w:lang w:eastAsia="es-CO"/>
        </w:rPr>
        <w:t> de 1.995).</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i/>
          <w:iCs/>
          <w:color w:val="666666"/>
          <w:sz w:val="24"/>
          <w:szCs w:val="24"/>
          <w:lang w:eastAsia="es-CO"/>
        </w:rPr>
        <w:t>6°. Nombramiento de un miembro del Consejo Directivo de una Corporación Autónoma Regional como empleado público.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En este caso la Sala reitera lo dicho en la consulta 1266, relacionada con régimen de inhabilidades e incompatibilidades en dichas corporaciones, así:</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Sobre el tema de inhabilidades e incompatibilidades de los servidores públicos, entendidas las primeras como impedimentos para que una persona pueda ser nombrada o elegida para un cargo público, y las segundas como limitaciones para quien ha sido nombrado o elegido, durante el tiempo que ostente el cargo, es de anotar que algunas de ellas están consagradas en la Carta  -Presidente de la República y Congresistas-, y en otros casos corresponde al legislador fijar su régimen por expresa delegación del constituyente, tal como lo disponen los artículos superiores 124. 293. 299. 303. 304 y 312.</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A juicio de la Sala, el sólo hecho de haber sido miembro de consejo directivo de la corporación autónoma regional, no es causal que configure prohibición prevista por el orden jurídico.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Es derecho de todo ciudadano el ejercicio del poder político, el cual se hace efectivo mediante el acceso al desempeño de funciones y cargos públicos, como lo prevé el artículo 40 numeral 7° superior.</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En el caso hipotético planteado por la consulta, no encuentra la Sala disposición constitucional o legal que limite el derecho a acceder al servicio público de las corporaciones autónomas regionales por el sólo hecho de haber formado parte de su órgano principal de administración, siempre que renuncie a tal condición de miembro del consejo directivo.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La Sala responde:</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lastRenderedPageBreak/>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7°. </w:t>
      </w:r>
      <w:r w:rsidRPr="007E3AE9">
        <w:rPr>
          <w:rFonts w:ascii="Arial" w:eastAsia="Times New Roman" w:hAnsi="Arial" w:cs="Arial"/>
          <w:i/>
          <w:iCs/>
          <w:color w:val="666666"/>
          <w:sz w:val="24"/>
          <w:szCs w:val="24"/>
          <w:u w:val="single"/>
          <w:lang w:eastAsia="es-CO"/>
        </w:rPr>
        <w:t>Un miembro del Consejo Directivo de una Corporación Autónoma Regional, puede ser nombrado como empleado público de libre nombramiento y remoción de la misma Corporación, una vez finalizado su período institucional como consejero o una vez presentada la renuncia a este cargo</w:t>
      </w:r>
      <w:r w:rsidRPr="007E3AE9">
        <w:rPr>
          <w:rFonts w:ascii="Arial" w:eastAsia="Times New Roman" w:hAnsi="Arial" w:cs="Arial"/>
          <w:i/>
          <w:iCs/>
          <w:color w:val="666666"/>
          <w:sz w:val="24"/>
          <w:szCs w:val="24"/>
          <w:lang w:eastAsia="es-CO"/>
        </w:rPr>
        <w:t>.</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8°. Como consecuencia de la inaplicación del artículo </w:t>
      </w:r>
      <w:hyperlink r:id="rId15" w:anchor="19" w:history="1">
        <w:r w:rsidRPr="007E3AE9">
          <w:rPr>
            <w:rFonts w:ascii="Arial" w:eastAsia="Times New Roman" w:hAnsi="Arial" w:cs="Arial"/>
            <w:i/>
            <w:iCs/>
            <w:color w:val="337AB7"/>
            <w:sz w:val="24"/>
            <w:szCs w:val="24"/>
            <w:lang w:eastAsia="es-CO"/>
          </w:rPr>
          <w:t>19 </w:t>
        </w:r>
      </w:hyperlink>
      <w:r w:rsidRPr="007E3AE9">
        <w:rPr>
          <w:rFonts w:ascii="Arial" w:eastAsia="Times New Roman" w:hAnsi="Arial" w:cs="Arial"/>
          <w:i/>
          <w:iCs/>
          <w:color w:val="666666"/>
          <w:sz w:val="24"/>
          <w:szCs w:val="24"/>
          <w:lang w:eastAsia="es-CO"/>
        </w:rPr>
        <w:t>del decreto 1768 de 1.994 a los miembros de los consejos directivos de las corporaciones autónomas regionales, no les resulta aplicable el artículo </w:t>
      </w:r>
      <w:hyperlink r:id="rId16" w:anchor="10" w:history="1">
        <w:r w:rsidRPr="007E3AE9">
          <w:rPr>
            <w:rFonts w:ascii="Arial" w:eastAsia="Times New Roman" w:hAnsi="Arial" w:cs="Arial"/>
            <w:i/>
            <w:iCs/>
            <w:color w:val="337AB7"/>
            <w:sz w:val="24"/>
            <w:szCs w:val="24"/>
            <w:lang w:eastAsia="es-CO"/>
          </w:rPr>
          <w:t>10</w:t>
        </w:r>
      </w:hyperlink>
      <w:r w:rsidRPr="007E3AE9">
        <w:rPr>
          <w:rFonts w:ascii="Arial" w:eastAsia="Times New Roman" w:hAnsi="Arial" w:cs="Arial"/>
          <w:i/>
          <w:iCs/>
          <w:color w:val="666666"/>
          <w:sz w:val="24"/>
          <w:szCs w:val="24"/>
          <w:lang w:eastAsia="es-CO"/>
        </w:rPr>
        <w:t> del decreto ley 128 de 1976, (…)” Subraya y negrilla fuera del texto)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i/>
          <w:i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De acuerdo con el Consejo de Estado, las corporaciones autónomas regionales, como entidades de régimen especial otorgado por la Constitución Política, se someten a las disposiciones que para ellas establezcan las respectivas leyes, de tal manera que en armonía con los artículos 6°, 124 y 150.7 de la Constitución Política, solamente las disposiciones con tal jerarquía legislativa en materia de prohibiciones, inhabilidades e incompatibilidades, resultan aplicables a los miembros de los consejos directivos de las corporaciones autónomas regionales.</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Así mismo dispuso esta Corporación, que debe acudirse al régimen general propio de los servidores públicos y de los particulares que cumplen funciones públicas, así como a los especiales establecidos por el legislador en consideración al cargo en razón del cual pertenecen al Consejo Directivo de la CAR, con el fin de determinar el régimen de inhabilidades e incompatibilidades aplicable para cada caso en concreto.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Por consiguiente, en criterio de esta Dirección Jurídica debe ser analizado, a la luz de las disposiciones transcritas y los conceptos del Consejo de Estado si se presenta inhabilidad o incompatibilidad para que el representante del sector privado en el Consejo Directivo de una Corporación Autónoma Regional pueda aspirar al cargo de Director General de una Corporación Autónoma Regional.</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En caso que requiera mayor información sobre las normas de administración de los empleados del sector público y demás temas competencia de este Departamento Administrativo puede ingresar a la página web de la entidad, en el link “Gestor Normativo”: </w:t>
      </w:r>
      <w:hyperlink r:id="rId17" w:history="1">
        <w:r w:rsidRPr="007E3AE9">
          <w:rPr>
            <w:rFonts w:ascii="Arial" w:eastAsia="Times New Roman" w:hAnsi="Arial" w:cs="Arial"/>
            <w:color w:val="337AB7"/>
            <w:sz w:val="24"/>
            <w:szCs w:val="24"/>
            <w:lang w:eastAsia="es-CO"/>
          </w:rPr>
          <w:t>/</w:t>
        </w:r>
        <w:proofErr w:type="spellStart"/>
        <w:r w:rsidRPr="007E3AE9">
          <w:rPr>
            <w:rFonts w:ascii="Arial" w:eastAsia="Times New Roman" w:hAnsi="Arial" w:cs="Arial"/>
            <w:color w:val="337AB7"/>
            <w:sz w:val="24"/>
            <w:szCs w:val="24"/>
            <w:lang w:eastAsia="es-CO"/>
          </w:rPr>
          <w:t>eva</w:t>
        </w:r>
        <w:proofErr w:type="spellEnd"/>
        <w:r w:rsidRPr="007E3AE9">
          <w:rPr>
            <w:rFonts w:ascii="Arial" w:eastAsia="Times New Roman" w:hAnsi="Arial" w:cs="Arial"/>
            <w:color w:val="337AB7"/>
            <w:sz w:val="24"/>
            <w:szCs w:val="24"/>
            <w:lang w:eastAsia="es-CO"/>
          </w:rPr>
          <w:t>/es/gestor-normativo</w:t>
        </w:r>
      </w:hyperlink>
      <w:r w:rsidRPr="007E3AE9">
        <w:rPr>
          <w:rFonts w:ascii="Arial" w:eastAsia="Times New Roman" w:hAnsi="Arial" w:cs="Arial"/>
          <w:color w:val="666666"/>
          <w:sz w:val="24"/>
          <w:szCs w:val="24"/>
          <w:lang w:eastAsia="es-CO"/>
        </w:rPr>
        <w:t>, donde podrá encontrar todos los conceptos relacionados emitidos por esta Dirección Jurídica.</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lastRenderedPageBreak/>
        <w:t>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El anterior concepto se emite en los términos establecidos en el artículo 28 del Código de Procedimiento Administrativo y de lo Contencioso Administrativo.</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Cordialmente,</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ARMANDO LÓPEZ CORTÉS</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Director Jurídico</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Elaboró: Claudia Inés Silva</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Revisó: José Fernando Ceballos</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Aprobó Armando López Cortés</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121602.8.4</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24"/>
          <w:szCs w:val="24"/>
          <w:lang w:eastAsia="es-CO"/>
        </w:rPr>
      </w:pPr>
      <w:r w:rsidRPr="007E3AE9">
        <w:rPr>
          <w:rFonts w:ascii="Arial" w:eastAsia="Times New Roman" w:hAnsi="Arial" w:cs="Arial"/>
          <w:color w:val="666666"/>
          <w:sz w:val="24"/>
          <w:szCs w:val="24"/>
          <w:lang w:eastAsia="es-CO"/>
        </w:rPr>
        <w:t> </w:t>
      </w:r>
    </w:p>
    <w:p w:rsidR="007E3AE9" w:rsidRPr="007E3AE9" w:rsidRDefault="007E3AE9" w:rsidP="007E3AE9">
      <w:pPr>
        <w:shd w:val="clear" w:color="auto" w:fill="FFFFFF"/>
        <w:spacing w:before="150" w:after="150" w:line="240" w:lineRule="auto"/>
        <w:rPr>
          <w:rFonts w:ascii="Arial" w:eastAsia="Times New Roman" w:hAnsi="Arial" w:cs="Arial"/>
          <w:color w:val="666666"/>
          <w:sz w:val="24"/>
          <w:szCs w:val="24"/>
          <w:lang w:eastAsia="es-CO"/>
        </w:rPr>
      </w:pPr>
      <w:r w:rsidRPr="007E3AE9">
        <w:rPr>
          <w:rFonts w:ascii="Arial" w:eastAsia="Times New Roman" w:hAnsi="Arial" w:cs="Arial"/>
          <w:b/>
          <w:bCs/>
          <w:color w:val="666666"/>
          <w:sz w:val="24"/>
          <w:szCs w:val="24"/>
          <w:lang w:eastAsia="es-CO"/>
        </w:rPr>
        <w:t xml:space="preserve">NOTAS DE PIE DE </w:t>
      </w:r>
      <w:proofErr w:type="gramStart"/>
      <w:r w:rsidRPr="007E3AE9">
        <w:rPr>
          <w:rFonts w:ascii="Arial" w:eastAsia="Times New Roman" w:hAnsi="Arial" w:cs="Arial"/>
          <w:b/>
          <w:bCs/>
          <w:color w:val="666666"/>
          <w:sz w:val="24"/>
          <w:szCs w:val="24"/>
          <w:lang w:eastAsia="es-CO"/>
        </w:rPr>
        <w:t>PAGINA</w:t>
      </w:r>
      <w:proofErr w:type="gramEnd"/>
    </w:p>
    <w:p w:rsidR="007E3AE9" w:rsidRPr="007E3AE9" w:rsidRDefault="007E3AE9" w:rsidP="007E3AE9">
      <w:pPr>
        <w:shd w:val="clear" w:color="auto" w:fill="FFFFFF"/>
        <w:spacing w:before="150" w:after="150" w:line="240" w:lineRule="auto"/>
        <w:rPr>
          <w:rFonts w:ascii="Arial" w:eastAsia="Times New Roman" w:hAnsi="Arial" w:cs="Arial"/>
          <w:color w:val="666666"/>
          <w:sz w:val="23"/>
          <w:szCs w:val="23"/>
          <w:lang w:eastAsia="es-CO"/>
        </w:rPr>
      </w:pPr>
      <w:r w:rsidRPr="007E3AE9">
        <w:rPr>
          <w:rFonts w:ascii="Arial" w:eastAsia="Times New Roman" w:hAnsi="Arial" w:cs="Arial"/>
          <w:color w:val="666666"/>
          <w:sz w:val="23"/>
          <w:szCs w:val="23"/>
          <w:lang w:eastAsia="es-CO"/>
        </w:rPr>
        <w:t> </w:t>
      </w:r>
    </w:p>
    <w:p w:rsidR="007E3AE9" w:rsidRPr="007E3AE9" w:rsidRDefault="007E3AE9" w:rsidP="007E3AE9">
      <w:pPr>
        <w:shd w:val="clear" w:color="auto" w:fill="FFFFFF"/>
        <w:spacing w:before="150" w:after="150" w:line="240" w:lineRule="auto"/>
        <w:jc w:val="both"/>
        <w:rPr>
          <w:rFonts w:ascii="Arial" w:eastAsia="Times New Roman" w:hAnsi="Arial" w:cs="Arial"/>
          <w:color w:val="666666"/>
          <w:sz w:val="17"/>
          <w:szCs w:val="17"/>
          <w:lang w:eastAsia="es-CO"/>
        </w:rPr>
      </w:pPr>
      <w:r w:rsidRPr="007E3AE9">
        <w:rPr>
          <w:rFonts w:ascii="Arial" w:eastAsia="Times New Roman" w:hAnsi="Arial" w:cs="Arial"/>
          <w:color w:val="666666"/>
          <w:sz w:val="17"/>
          <w:szCs w:val="17"/>
          <w:lang w:eastAsia="es-CO"/>
        </w:rPr>
        <w:t>1. por la cual se crea el Ministerio del Medio Ambiente, se reordena el Sector Público encargado de la gestión y conservación del medio ambiente y los recursos naturales renovables, se organiza el Sistema Nacional Ambiental, SINA, y se dictan otras disposiciones.</w:t>
      </w:r>
    </w:p>
    <w:p w:rsidR="00E405C1" w:rsidRDefault="00E405C1"/>
    <w:sectPr w:rsidR="00E40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C6E05"/>
    <w:multiLevelType w:val="multilevel"/>
    <w:tmpl w:val="28BA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E9"/>
    <w:rsid w:val="007E3AE9"/>
    <w:rsid w:val="00E40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3F6D6-B860-446C-BF86-7D5EE5B3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E3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AE9"/>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7E3AE9"/>
    <w:rPr>
      <w:color w:val="0000FF"/>
      <w:u w:val="single"/>
    </w:rPr>
  </w:style>
  <w:style w:type="paragraph" w:styleId="Puesto">
    <w:name w:val="Title"/>
    <w:basedOn w:val="Normal"/>
    <w:link w:val="PuestoCar"/>
    <w:uiPriority w:val="10"/>
    <w:qFormat/>
    <w:rsid w:val="007E3A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7E3AE9"/>
    <w:rPr>
      <w:rFonts w:ascii="Times New Roman" w:eastAsia="Times New Roman" w:hAnsi="Times New Roman" w:cs="Times New Roman"/>
      <w:sz w:val="24"/>
      <w:szCs w:val="24"/>
      <w:lang w:eastAsia="es-CO"/>
    </w:rPr>
  </w:style>
  <w:style w:type="paragraph" w:customStyle="1" w:styleId="cuerpo">
    <w:name w:val="cuerpo"/>
    <w:basedOn w:val="Normal"/>
    <w:rsid w:val="007E3A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a"/>
    <w:basedOn w:val="Normal"/>
    <w:rsid w:val="007E3A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E3A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7E3AE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1297">
      <w:bodyDiv w:val="1"/>
      <w:marLeft w:val="0"/>
      <w:marRight w:val="0"/>
      <w:marTop w:val="0"/>
      <w:marBottom w:val="0"/>
      <w:divBdr>
        <w:top w:val="none" w:sz="0" w:space="0" w:color="auto"/>
        <w:left w:val="none" w:sz="0" w:space="0" w:color="auto"/>
        <w:bottom w:val="none" w:sz="0" w:space="0" w:color="auto"/>
        <w:right w:val="none" w:sz="0" w:space="0" w:color="auto"/>
      </w:divBdr>
      <w:divsChild>
        <w:div w:id="127672650">
          <w:marLeft w:val="0"/>
          <w:marRight w:val="0"/>
          <w:marTop w:val="0"/>
          <w:marBottom w:val="0"/>
          <w:divBdr>
            <w:top w:val="none" w:sz="0" w:space="0" w:color="auto"/>
            <w:left w:val="none" w:sz="0" w:space="0" w:color="auto"/>
            <w:bottom w:val="none" w:sz="0" w:space="0" w:color="auto"/>
            <w:right w:val="none" w:sz="0" w:space="0" w:color="auto"/>
          </w:divBdr>
          <w:divsChild>
            <w:div w:id="1999339072">
              <w:marLeft w:val="-225"/>
              <w:marRight w:val="-225"/>
              <w:marTop w:val="0"/>
              <w:marBottom w:val="0"/>
              <w:divBdr>
                <w:top w:val="none" w:sz="0" w:space="0" w:color="auto"/>
                <w:left w:val="none" w:sz="0" w:space="0" w:color="auto"/>
                <w:bottom w:val="none" w:sz="0" w:space="0" w:color="auto"/>
                <w:right w:val="none" w:sz="0" w:space="0" w:color="auto"/>
              </w:divBdr>
              <w:divsChild>
                <w:div w:id="8021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836">
          <w:marLeft w:val="-225"/>
          <w:marRight w:val="-225"/>
          <w:marTop w:val="0"/>
          <w:marBottom w:val="0"/>
          <w:divBdr>
            <w:top w:val="none" w:sz="0" w:space="0" w:color="auto"/>
            <w:left w:val="none" w:sz="0" w:space="0" w:color="auto"/>
            <w:bottom w:val="none" w:sz="0" w:space="0" w:color="auto"/>
            <w:right w:val="none" w:sz="0" w:space="0" w:color="auto"/>
          </w:divBdr>
          <w:divsChild>
            <w:div w:id="2118868363">
              <w:marLeft w:val="0"/>
              <w:marRight w:val="0"/>
              <w:marTop w:val="0"/>
              <w:marBottom w:val="0"/>
              <w:divBdr>
                <w:top w:val="none" w:sz="0" w:space="0" w:color="auto"/>
                <w:left w:val="none" w:sz="0" w:space="0" w:color="auto"/>
                <w:bottom w:val="none" w:sz="0" w:space="0" w:color="auto"/>
                <w:right w:val="none" w:sz="0" w:space="0" w:color="auto"/>
              </w:divBdr>
              <w:divsChild>
                <w:div w:id="947616055">
                  <w:marLeft w:val="0"/>
                  <w:marRight w:val="0"/>
                  <w:marTop w:val="0"/>
                  <w:marBottom w:val="0"/>
                  <w:divBdr>
                    <w:top w:val="none" w:sz="0" w:space="0" w:color="auto"/>
                    <w:left w:val="none" w:sz="0" w:space="0" w:color="auto"/>
                    <w:bottom w:val="none" w:sz="0" w:space="0" w:color="auto"/>
                    <w:right w:val="none" w:sz="0" w:space="0" w:color="auto"/>
                  </w:divBdr>
                </w:div>
                <w:div w:id="15309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hyperlink" Target="https://www.funcionpublica.gov.co/eva/gestornormativo/norma.php?i=3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1318" TargetMode="External"/><Relationship Id="rId12" Type="http://schemas.openxmlformats.org/officeDocument/2006/relationships/hyperlink" Target="https://www.funcionpublica.gov.co/eva/gestornormativo/norma.php?i=304" TargetMode="External"/><Relationship Id="rId17" Type="http://schemas.openxmlformats.org/officeDocument/2006/relationships/hyperlink" Target="https://www.funcionpublica.gov.co/eva/es/gestor-normativo" TargetMode="External"/><Relationship Id="rId2" Type="http://schemas.openxmlformats.org/officeDocument/2006/relationships/styles" Target="styles.xml"/><Relationship Id="rId16" Type="http://schemas.openxmlformats.org/officeDocument/2006/relationships/hyperlink" Target="https://www.funcionpublica.gov.co/eva/gestornormativo/norma.php?i=1318"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1318" TargetMode="External"/><Relationship Id="rId11" Type="http://schemas.openxmlformats.org/officeDocument/2006/relationships/hyperlink" Target="https://www.funcionpublica.gov.co/eva/gestornormativo/norma.php?i=3703" TargetMode="External"/><Relationship Id="rId5" Type="http://schemas.openxmlformats.org/officeDocument/2006/relationships/hyperlink" Target="https://www.funcionpublica.gov.co/eva/gestornormativo/norma.php?i=297" TargetMode="External"/><Relationship Id="rId15" Type="http://schemas.openxmlformats.org/officeDocument/2006/relationships/hyperlink" Target="https://www.funcionpublica.gov.co/eva/gestornormativo/norma.php?i=3703" TargetMode="External"/><Relationship Id="rId10" Type="http://schemas.openxmlformats.org/officeDocument/2006/relationships/hyperlink" Target="https://www.funcionpublica.gov.co/eva/gestornormativo/norma.php?i=41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3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1578</Words>
  <Characters>8680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2019-06-17T18:43:00Z</dcterms:created>
  <dcterms:modified xsi:type="dcterms:W3CDTF">2019-06-17T18:45:00Z</dcterms:modified>
</cp:coreProperties>
</file>